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FDAB" w14:textId="73F7C9B1" w:rsidR="00E512D9" w:rsidRDefault="00E512D9" w:rsidP="00E512D9">
      <w:pPr>
        <w:pStyle w:val="Nagwek30"/>
        <w:keepNext/>
        <w:keepLines/>
        <w:jc w:val="left"/>
        <w:rPr>
          <w:rStyle w:val="Nagwek3"/>
          <w:b/>
          <w:bCs/>
        </w:rPr>
      </w:pPr>
      <w:bookmarkStart w:id="0" w:name="bookmark0"/>
      <w:r>
        <w:rPr>
          <w:rStyle w:val="Nagwek3"/>
          <w:b/>
          <w:bCs/>
        </w:rPr>
        <w:t xml:space="preserve">Dział Gospodarczy                                                                                                                                                                    Gliwice, </w:t>
      </w:r>
      <w:r w:rsidR="00107BEE">
        <w:rPr>
          <w:rStyle w:val="Nagwek3"/>
          <w:b/>
          <w:bCs/>
        </w:rPr>
        <w:t>12</w:t>
      </w:r>
      <w:r>
        <w:rPr>
          <w:rStyle w:val="Nagwek3"/>
          <w:b/>
          <w:bCs/>
        </w:rPr>
        <w:t>.</w:t>
      </w:r>
      <w:r w:rsidR="006C241F">
        <w:rPr>
          <w:rStyle w:val="Nagwek3"/>
          <w:b/>
          <w:bCs/>
        </w:rPr>
        <w:t>0</w:t>
      </w:r>
      <w:r w:rsidR="00136CDE">
        <w:rPr>
          <w:rStyle w:val="Nagwek3"/>
          <w:b/>
          <w:bCs/>
        </w:rPr>
        <w:t>6</w:t>
      </w:r>
      <w:r>
        <w:rPr>
          <w:rStyle w:val="Nagwek3"/>
          <w:b/>
          <w:bCs/>
        </w:rPr>
        <w:t>.202</w:t>
      </w:r>
      <w:r w:rsidR="006C241F">
        <w:rPr>
          <w:rStyle w:val="Nagwek3"/>
          <w:b/>
          <w:bCs/>
        </w:rPr>
        <w:t>6</w:t>
      </w:r>
      <w:r>
        <w:rPr>
          <w:rStyle w:val="Nagwek3"/>
          <w:b/>
          <w:bCs/>
        </w:rPr>
        <w:t xml:space="preserve"> r.</w:t>
      </w:r>
    </w:p>
    <w:p w14:paraId="7F058214" w14:textId="7A02813A" w:rsidR="00E512D9" w:rsidRDefault="00E512D9" w:rsidP="00E512D9">
      <w:pPr>
        <w:pStyle w:val="Nagwek30"/>
        <w:keepNext/>
        <w:keepLines/>
        <w:jc w:val="left"/>
        <w:rPr>
          <w:rStyle w:val="Nagwek3"/>
          <w:b/>
          <w:bCs/>
        </w:rPr>
      </w:pPr>
      <w:r>
        <w:rPr>
          <w:rStyle w:val="Nagwek3"/>
          <w:b/>
          <w:bCs/>
        </w:rPr>
        <w:t xml:space="preserve">Sekcja Gospodarki Nieruchomościami </w:t>
      </w:r>
    </w:p>
    <w:p w14:paraId="6A7D72A2" w14:textId="77777777" w:rsidR="00E512D9" w:rsidRDefault="00E512D9" w:rsidP="002C7460">
      <w:pPr>
        <w:pStyle w:val="Nagwek30"/>
        <w:keepNext/>
        <w:keepLines/>
        <w:rPr>
          <w:rStyle w:val="Nagwek3"/>
          <w:b/>
          <w:bCs/>
        </w:rPr>
      </w:pPr>
    </w:p>
    <w:p w14:paraId="67A7813E" w14:textId="07794DE5" w:rsidR="00B96DDE" w:rsidRDefault="00BF425C" w:rsidP="002C7460">
      <w:pPr>
        <w:pStyle w:val="Nagwek30"/>
        <w:keepNext/>
        <w:keepLines/>
        <w:rPr>
          <w:rStyle w:val="Nagwek3"/>
          <w:b/>
          <w:bCs/>
        </w:rPr>
      </w:pPr>
      <w:r>
        <w:rPr>
          <w:rStyle w:val="Nagwek3"/>
          <w:b/>
          <w:bCs/>
        </w:rPr>
        <w:t>Opis i warunki zbycia w trybie bezprzetargowym prawa własności części nieruchomości gruntowej zabudowanej - dz. nr 84,</w:t>
      </w:r>
    </w:p>
    <w:p w14:paraId="093DD228" w14:textId="4A94B734" w:rsidR="00B96DDE" w:rsidRDefault="00BF425C">
      <w:pPr>
        <w:pStyle w:val="Nagwek30"/>
        <w:keepNext/>
        <w:keepLines/>
        <w:rPr>
          <w:rStyle w:val="Nagwek3"/>
          <w:b/>
          <w:bCs/>
        </w:rPr>
      </w:pPr>
      <w:r>
        <w:rPr>
          <w:rStyle w:val="Nagwek3"/>
          <w:b/>
          <w:bCs/>
        </w:rPr>
        <w:t xml:space="preserve">położonej w Gliwicach przy ul. Pszczyńskiej 38, obręb </w:t>
      </w:r>
      <w:proofErr w:type="spellStart"/>
      <w:r>
        <w:rPr>
          <w:rStyle w:val="Nagwek3"/>
          <w:b/>
          <w:bCs/>
        </w:rPr>
        <w:t>T</w:t>
      </w:r>
      <w:r w:rsidR="005E371A">
        <w:rPr>
          <w:rStyle w:val="Nagwek3"/>
          <w:b/>
          <w:bCs/>
        </w:rPr>
        <w:t>r</w:t>
      </w:r>
      <w:r>
        <w:rPr>
          <w:rStyle w:val="Nagwek3"/>
          <w:b/>
          <w:bCs/>
        </w:rPr>
        <w:t>ynek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3521"/>
        <w:gridCol w:w="2835"/>
        <w:gridCol w:w="2552"/>
        <w:gridCol w:w="2835"/>
      </w:tblGrid>
      <w:tr w:rsidR="00CE23E9" w14:paraId="5B9CD93A" w14:textId="77777777" w:rsidTr="002C7460">
        <w:trPr>
          <w:trHeight w:hRule="exact" w:val="1958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14:paraId="64A32135" w14:textId="2741451E" w:rsidR="00CE23E9" w:rsidRDefault="00CE23E9">
            <w:pPr>
              <w:pStyle w:val="Inne0"/>
              <w:jc w:val="center"/>
            </w:pPr>
            <w:r>
              <w:rPr>
                <w:rStyle w:val="Nagwek3"/>
                <w:b w:val="0"/>
                <w:bCs w:val="0"/>
              </w:rPr>
              <w:t xml:space="preserve"> </w:t>
            </w:r>
            <w:r>
              <w:rPr>
                <w:rStyle w:val="Inne"/>
              </w:rPr>
              <w:t>Oznaczenie nieruchomości, powierzchnia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DD7D3" w14:textId="77777777" w:rsidR="00CE23E9" w:rsidRDefault="00CE23E9">
            <w:pPr>
              <w:pStyle w:val="Inne0"/>
              <w:jc w:val="center"/>
            </w:pPr>
            <w:r>
              <w:rPr>
                <w:rStyle w:val="Inne"/>
              </w:rPr>
              <w:t>Opis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DB73C" w14:textId="1872B98F" w:rsidR="00CE23E9" w:rsidRDefault="00CE23E9">
            <w:pPr>
              <w:pStyle w:val="Inne0"/>
              <w:jc w:val="center"/>
            </w:pPr>
            <w:r>
              <w:rPr>
                <w:rStyle w:val="Inne"/>
              </w:rPr>
              <w:t xml:space="preserve">Przeznaczenie nieruchomości </w:t>
            </w:r>
            <w:r w:rsidR="002C7460">
              <w:rPr>
                <w:rStyle w:val="Inne"/>
              </w:rPr>
              <w:br/>
            </w:r>
            <w:r>
              <w:rPr>
                <w:rStyle w:val="Inne"/>
              </w:rPr>
              <w:t>i sposób zagospodarowania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6AEA6" w14:textId="77777777" w:rsidR="00CE23E9" w:rsidRDefault="00CE23E9">
            <w:pPr>
              <w:pStyle w:val="Inne0"/>
              <w:jc w:val="center"/>
            </w:pPr>
            <w:r>
              <w:rPr>
                <w:rStyle w:val="Inne"/>
              </w:rPr>
              <w:t>Cena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CB306" w14:textId="77777777" w:rsidR="00CE23E9" w:rsidRDefault="00CE23E9">
            <w:pPr>
              <w:pStyle w:val="Inne0"/>
              <w:jc w:val="center"/>
            </w:pPr>
            <w:r>
              <w:rPr>
                <w:rStyle w:val="Inne"/>
              </w:rPr>
              <w:t>Informacja o zbyciu</w:t>
            </w:r>
          </w:p>
        </w:tc>
      </w:tr>
      <w:tr w:rsidR="00CE23E9" w14:paraId="31BE0A38" w14:textId="77777777" w:rsidTr="002C7460">
        <w:trPr>
          <w:trHeight w:hRule="exact" w:val="593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23B73" w14:textId="1C1809E7" w:rsidR="00CE23E9" w:rsidRDefault="00CE23E9" w:rsidP="00F85484">
            <w:pPr>
              <w:pStyle w:val="Inne0"/>
              <w:jc w:val="both"/>
            </w:pPr>
            <w:r>
              <w:rPr>
                <w:rStyle w:val="Inne"/>
                <w:b/>
                <w:bCs/>
              </w:rPr>
              <w:t xml:space="preserve">Działka nr 84 </w:t>
            </w:r>
            <w:r>
              <w:rPr>
                <w:rStyle w:val="Inne"/>
              </w:rPr>
              <w:t xml:space="preserve">obręb </w:t>
            </w:r>
            <w:proofErr w:type="spellStart"/>
            <w:r>
              <w:rPr>
                <w:rStyle w:val="Inne"/>
              </w:rPr>
              <w:t>Trynek</w:t>
            </w:r>
            <w:proofErr w:type="spellEnd"/>
            <w:r>
              <w:rPr>
                <w:rStyle w:val="Inne"/>
              </w:rPr>
              <w:t>;</w:t>
            </w:r>
            <w:r w:rsidR="00F85484">
              <w:rPr>
                <w:rStyle w:val="Inne"/>
              </w:rPr>
              <w:t xml:space="preserve"> </w:t>
            </w:r>
            <w:r>
              <w:rPr>
                <w:rStyle w:val="Inne"/>
              </w:rPr>
              <w:t>pow. 175m</w:t>
            </w:r>
            <w:r>
              <w:rPr>
                <w:rStyle w:val="Inne"/>
                <w:vertAlign w:val="superscript"/>
              </w:rPr>
              <w:t xml:space="preserve">2 </w:t>
            </w:r>
            <w:r w:rsidR="00F85484">
              <w:rPr>
                <w:rStyle w:val="Inne"/>
              </w:rPr>
              <w:t xml:space="preserve">, </w:t>
            </w:r>
            <w:r>
              <w:rPr>
                <w:rStyle w:val="Inne"/>
              </w:rPr>
              <w:t>stanowi część nieruchomości,</w:t>
            </w:r>
            <w:r w:rsidR="00F85484">
              <w:rPr>
                <w:rStyle w:val="Inne"/>
              </w:rPr>
              <w:t xml:space="preserve"> </w:t>
            </w:r>
            <w:r>
              <w:rPr>
                <w:rStyle w:val="Inne"/>
              </w:rPr>
              <w:t xml:space="preserve">dla której w Sądzie Rejonowym w Gliwicach prowadzona jest księga wieczysta nr </w:t>
            </w:r>
            <w:r>
              <w:rPr>
                <w:rStyle w:val="Inne"/>
                <w:b/>
                <w:bCs/>
              </w:rPr>
              <w:t>GL1G/00018207/7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89DC4" w14:textId="57708BA4" w:rsidR="00CE23E9" w:rsidRDefault="00CE23E9" w:rsidP="00DF6CCE">
            <w:pPr>
              <w:pStyle w:val="Inne0"/>
              <w:spacing w:line="276" w:lineRule="auto"/>
              <w:rPr>
                <w:rStyle w:val="Inne"/>
              </w:rPr>
            </w:pPr>
            <w:r>
              <w:rPr>
                <w:rStyle w:val="Inne"/>
              </w:rPr>
              <w:t xml:space="preserve">Nieruchomość położona jest w niewielkiej odległości od centrum miasta. Sąsiedztwo stanowią: zabudowa mieszkaniowa wielorodzinna typu śródmiejskiego </w:t>
            </w:r>
            <w:r w:rsidR="00B76C23">
              <w:rPr>
                <w:rStyle w:val="Inne"/>
              </w:rPr>
              <w:br/>
            </w:r>
            <w:r>
              <w:rPr>
                <w:rStyle w:val="Inne"/>
              </w:rPr>
              <w:t>i osiedlowego, oddział ZUS, punkty handlowo-usługowe, stacja paliw, budynki biurowe.</w:t>
            </w:r>
          </w:p>
          <w:p w14:paraId="7DEC43DF" w14:textId="1ED9B95B" w:rsidR="00CE23E9" w:rsidRDefault="00CE23E9" w:rsidP="00DF6CCE">
            <w:pPr>
              <w:pStyle w:val="Inne0"/>
              <w:spacing w:line="276" w:lineRule="auto"/>
            </w:pPr>
            <w:r>
              <w:rPr>
                <w:rStyle w:val="Inne"/>
              </w:rPr>
              <w:t xml:space="preserve">Granice działki nr 84 tworzą regularny kształt wieloboku. Działka jest nieogrodzona, zagospodarowana i stanowi fragment całości zabudowanej myjnią samochodową. W znacznej części powierzchnia terenu działki jest utwardzona kostką betonową. Działka </w:t>
            </w:r>
            <w:r w:rsidR="006C241F">
              <w:rPr>
                <w:rStyle w:val="Inne"/>
              </w:rPr>
              <w:t xml:space="preserve">nie </w:t>
            </w:r>
            <w:r>
              <w:rPr>
                <w:rStyle w:val="Inne"/>
              </w:rPr>
              <w:t xml:space="preserve">posiada </w:t>
            </w:r>
            <w:r w:rsidR="00D76413">
              <w:rPr>
                <w:rStyle w:val="Inne"/>
              </w:rPr>
              <w:t>bezpośredni</w:t>
            </w:r>
            <w:r w:rsidR="006C241F">
              <w:rPr>
                <w:rStyle w:val="Inne"/>
              </w:rPr>
              <w:t>ego</w:t>
            </w:r>
            <w:r w:rsidR="00D76413">
              <w:rPr>
                <w:rStyle w:val="Inne"/>
              </w:rPr>
              <w:t xml:space="preserve"> </w:t>
            </w:r>
            <w:r>
              <w:rPr>
                <w:rStyle w:val="Inne"/>
              </w:rPr>
              <w:t>dostę</w:t>
            </w:r>
            <w:r w:rsidR="00D76413">
              <w:rPr>
                <w:rStyle w:val="Inne"/>
              </w:rPr>
              <w:t>p</w:t>
            </w:r>
            <w:r w:rsidR="006C241F">
              <w:rPr>
                <w:rStyle w:val="Inne"/>
              </w:rPr>
              <w:t>u</w:t>
            </w:r>
            <w:r>
              <w:rPr>
                <w:rStyle w:val="Inne"/>
              </w:rPr>
              <w:t xml:space="preserve"> do drogi publicznej.</w:t>
            </w:r>
            <w:r w:rsidR="00CD79BA">
              <w:rPr>
                <w:rStyle w:val="Inne"/>
              </w:rPr>
              <w:t xml:space="preserve"> Dojazd do drogi publicznej odbywa się przez inne działki, stanowiące drogę wewnętrzną, będące własnością Gminy Gliwice.</w:t>
            </w:r>
          </w:p>
          <w:p w14:paraId="6BF4BFE4" w14:textId="02356C09" w:rsidR="00CE23E9" w:rsidRDefault="00CE23E9" w:rsidP="00DF6CC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W pobliżu przebiegają następujące sieci uzbrojenia terenu:</w:t>
            </w:r>
          </w:p>
          <w:p w14:paraId="567E5302" w14:textId="617DD523" w:rsidR="00CE23E9" w:rsidRDefault="00CE23E9" w:rsidP="00DF6CCE">
            <w:pPr>
              <w:pStyle w:val="Inne0"/>
            </w:pPr>
            <w:r>
              <w:rPr>
                <w:rStyle w:val="Inne"/>
              </w:rPr>
              <w:t>- sieć energetyczna,</w:t>
            </w:r>
          </w:p>
          <w:p w14:paraId="4C213806" w14:textId="77777777" w:rsidR="00CE23E9" w:rsidRDefault="00CE23E9" w:rsidP="00DF6CC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 xml:space="preserve">- sieć wodociągowa, </w:t>
            </w:r>
          </w:p>
          <w:p w14:paraId="1F59A27C" w14:textId="3F4461C5" w:rsidR="00CE23E9" w:rsidRDefault="00CE23E9" w:rsidP="00DF6CCE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 xml:space="preserve">- sieć kanalizacyjna, </w:t>
            </w:r>
            <w:r>
              <w:rPr>
                <w:rStyle w:val="Inne"/>
              </w:rPr>
              <w:br/>
              <w:t>- sieć gazowa.</w:t>
            </w:r>
          </w:p>
          <w:p w14:paraId="27726DAA" w14:textId="74BBBFB5" w:rsidR="00CE23E9" w:rsidRDefault="00CE23E9" w:rsidP="00DF6CCE">
            <w:pPr>
              <w:pStyle w:val="Inne0"/>
            </w:pPr>
            <w:r w:rsidRPr="00CE23E9">
              <w:t xml:space="preserve">Działka nr 84 </w:t>
            </w:r>
            <w:r w:rsidR="003C70AE">
              <w:t>stanowi przedmiot umowy dzierżawy</w:t>
            </w:r>
            <w:r w:rsidRPr="00CE23E9">
              <w:t xml:space="preserve"> na czas nieokreślony.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C5B77" w14:textId="2EE2B0CC" w:rsidR="00CE23E9" w:rsidRPr="00BF4531" w:rsidRDefault="00CE23E9" w:rsidP="00DF6CCE">
            <w:pPr>
              <w:pStyle w:val="Inne0"/>
              <w:rPr>
                <w:rStyle w:val="Inne"/>
                <w:color w:val="auto"/>
              </w:rPr>
            </w:pPr>
            <w:r w:rsidRPr="00BF4531">
              <w:rPr>
                <w:rStyle w:val="Inne"/>
                <w:color w:val="auto"/>
              </w:rPr>
              <w:t>Zgodnie z zapisami miejscowego planu zagospodarowania przestrzennego miasta Gliwice (uchwała nr X</w:t>
            </w:r>
            <w:r w:rsidR="00366AF8" w:rsidRPr="00BF4531">
              <w:rPr>
                <w:rStyle w:val="Inne"/>
                <w:color w:val="auto"/>
              </w:rPr>
              <w:t>XXV</w:t>
            </w:r>
            <w:r w:rsidRPr="00BF4531">
              <w:rPr>
                <w:rStyle w:val="Inne"/>
                <w:color w:val="auto"/>
              </w:rPr>
              <w:t>III/9</w:t>
            </w:r>
            <w:r w:rsidR="00366AF8" w:rsidRPr="00BF4531">
              <w:rPr>
                <w:rStyle w:val="Inne"/>
                <w:color w:val="auto"/>
              </w:rPr>
              <w:t>65</w:t>
            </w:r>
            <w:r w:rsidRPr="00BF4531">
              <w:rPr>
                <w:rStyle w:val="Inne"/>
                <w:color w:val="auto"/>
              </w:rPr>
              <w:t>/20</w:t>
            </w:r>
            <w:r w:rsidR="00366AF8" w:rsidRPr="00BF4531">
              <w:rPr>
                <w:rStyle w:val="Inne"/>
                <w:color w:val="auto"/>
              </w:rPr>
              <w:t>05</w:t>
            </w:r>
            <w:r w:rsidRPr="00BF4531">
              <w:rPr>
                <w:rStyle w:val="Inne"/>
                <w:color w:val="auto"/>
              </w:rPr>
              <w:t xml:space="preserve"> Rady Miejskiej w Gliwicach </w:t>
            </w:r>
            <w:r w:rsidR="002C7460" w:rsidRPr="00BF4531">
              <w:rPr>
                <w:rStyle w:val="Inne"/>
                <w:color w:val="auto"/>
              </w:rPr>
              <w:br/>
            </w:r>
            <w:r w:rsidRPr="00BF4531">
              <w:rPr>
                <w:rStyle w:val="Inne"/>
                <w:color w:val="auto"/>
              </w:rPr>
              <w:t xml:space="preserve">z dnia </w:t>
            </w:r>
            <w:r w:rsidR="00366AF8" w:rsidRPr="00BF4531">
              <w:rPr>
                <w:rStyle w:val="Inne"/>
                <w:color w:val="auto"/>
              </w:rPr>
              <w:t>22 grudnia</w:t>
            </w:r>
            <w:r w:rsidRPr="00BF4531">
              <w:rPr>
                <w:rStyle w:val="Inne"/>
                <w:color w:val="auto"/>
              </w:rPr>
              <w:t xml:space="preserve"> 20</w:t>
            </w:r>
            <w:r w:rsidR="00366AF8" w:rsidRPr="00BF4531">
              <w:rPr>
                <w:rStyle w:val="Inne"/>
                <w:color w:val="auto"/>
              </w:rPr>
              <w:t>05</w:t>
            </w:r>
            <w:r w:rsidRPr="00BF4531">
              <w:rPr>
                <w:rStyle w:val="Inne"/>
                <w:color w:val="auto"/>
              </w:rPr>
              <w:t xml:space="preserve"> r., opublikowana w Dz. Urz. Woj. Śląskiego</w:t>
            </w:r>
            <w:r w:rsidR="002C7460" w:rsidRPr="00BF4531">
              <w:rPr>
                <w:rStyle w:val="Inne"/>
                <w:color w:val="auto"/>
              </w:rPr>
              <w:t xml:space="preserve"> nr 14</w:t>
            </w:r>
            <w:r w:rsidRPr="00BF4531">
              <w:rPr>
                <w:rStyle w:val="Inne"/>
                <w:color w:val="auto"/>
              </w:rPr>
              <w:t xml:space="preserve"> z dnia 1</w:t>
            </w:r>
            <w:r w:rsidR="002C7460" w:rsidRPr="00BF4531">
              <w:rPr>
                <w:rStyle w:val="Inne"/>
                <w:color w:val="auto"/>
              </w:rPr>
              <w:t>5</w:t>
            </w:r>
            <w:r w:rsidRPr="00BF4531">
              <w:rPr>
                <w:rStyle w:val="Inne"/>
                <w:color w:val="auto"/>
              </w:rPr>
              <w:t>.0</w:t>
            </w:r>
            <w:r w:rsidR="002C7460" w:rsidRPr="00BF4531">
              <w:rPr>
                <w:rStyle w:val="Inne"/>
                <w:color w:val="auto"/>
              </w:rPr>
              <w:t>2</w:t>
            </w:r>
            <w:r w:rsidRPr="00BF4531">
              <w:rPr>
                <w:rStyle w:val="Inne"/>
                <w:color w:val="auto"/>
              </w:rPr>
              <w:t>.20</w:t>
            </w:r>
            <w:r w:rsidR="002C7460" w:rsidRPr="00BF4531">
              <w:rPr>
                <w:rStyle w:val="Inne"/>
                <w:color w:val="auto"/>
              </w:rPr>
              <w:t>06</w:t>
            </w:r>
            <w:r w:rsidR="00A72B76" w:rsidRPr="00BF4531">
              <w:rPr>
                <w:rStyle w:val="Inne"/>
                <w:color w:val="auto"/>
              </w:rPr>
              <w:t> </w:t>
            </w:r>
            <w:r w:rsidRPr="00BF4531">
              <w:rPr>
                <w:rStyle w:val="Inne"/>
                <w:color w:val="auto"/>
              </w:rPr>
              <w:t xml:space="preserve">r., poz. </w:t>
            </w:r>
            <w:r w:rsidR="002C7460" w:rsidRPr="00BF4531">
              <w:rPr>
                <w:rStyle w:val="Inne"/>
                <w:color w:val="auto"/>
              </w:rPr>
              <w:t>481</w:t>
            </w:r>
            <w:r w:rsidRPr="00BF4531">
              <w:rPr>
                <w:rStyle w:val="Inne"/>
                <w:color w:val="auto"/>
              </w:rPr>
              <w:t xml:space="preserve">, </w:t>
            </w:r>
            <w:r w:rsidR="002C7460" w:rsidRPr="00BF4531">
              <w:rPr>
                <w:rStyle w:val="Inne"/>
                <w:i/>
                <w:iCs/>
                <w:color w:val="auto"/>
              </w:rPr>
              <w:t>w</w:t>
            </w:r>
            <w:r w:rsidR="00A72B76" w:rsidRPr="00BF4531">
              <w:rPr>
                <w:rStyle w:val="Inne"/>
                <w:i/>
                <w:iCs/>
                <w:color w:val="auto"/>
              </w:rPr>
              <w:t> </w:t>
            </w:r>
            <w:r w:rsidR="002C7460" w:rsidRPr="00BF4531">
              <w:rPr>
                <w:rStyle w:val="Inne"/>
                <w:i/>
                <w:iCs/>
                <w:color w:val="auto"/>
              </w:rPr>
              <w:t>sprawie miejscowego planu zagospodarowania przestrzennego dla terenu położonego w</w:t>
            </w:r>
            <w:r w:rsidR="00A72B76" w:rsidRPr="00BF4531">
              <w:rPr>
                <w:rStyle w:val="Inne"/>
                <w:i/>
                <w:iCs/>
                <w:color w:val="auto"/>
              </w:rPr>
              <w:t> </w:t>
            </w:r>
            <w:r w:rsidR="002C7460" w:rsidRPr="00BF4531">
              <w:rPr>
                <w:rStyle w:val="Inne"/>
                <w:i/>
                <w:iCs/>
                <w:color w:val="auto"/>
              </w:rPr>
              <w:t xml:space="preserve">centralnej części miasta, obejmującego Centrum </w:t>
            </w:r>
            <w:r w:rsidR="002C7460" w:rsidRPr="00BF4531">
              <w:rPr>
                <w:rStyle w:val="Inne"/>
                <w:i/>
                <w:iCs/>
                <w:color w:val="auto"/>
              </w:rPr>
              <w:br/>
              <w:t>i Śródmieście miasta, tzw. centralne tereny miasta</w:t>
            </w:r>
            <w:r w:rsidRPr="00BF4531">
              <w:rPr>
                <w:rStyle w:val="Inne"/>
                <w:color w:val="auto"/>
              </w:rPr>
              <w:t xml:space="preserve">) </w:t>
            </w:r>
            <w:r w:rsidR="002C7460" w:rsidRPr="00BF4531">
              <w:rPr>
                <w:rStyle w:val="Inne"/>
                <w:color w:val="auto"/>
              </w:rPr>
              <w:br/>
            </w:r>
            <w:r w:rsidRPr="00BF4531">
              <w:rPr>
                <w:rStyle w:val="Inne"/>
                <w:color w:val="auto"/>
              </w:rPr>
              <w:t xml:space="preserve">działka nr </w:t>
            </w:r>
            <w:r w:rsidR="00366AF8" w:rsidRPr="00BF4531">
              <w:rPr>
                <w:rStyle w:val="Inne"/>
                <w:color w:val="auto"/>
              </w:rPr>
              <w:t>84</w:t>
            </w:r>
            <w:r w:rsidRPr="00BF4531">
              <w:rPr>
                <w:rStyle w:val="Inne"/>
                <w:color w:val="auto"/>
              </w:rPr>
              <w:t xml:space="preserve"> znajduje się na terenie oznaczonym symbolem </w:t>
            </w:r>
            <w:r w:rsidR="00366AF8" w:rsidRPr="00BF4531">
              <w:rPr>
                <w:rStyle w:val="Inne"/>
                <w:b/>
                <w:bCs/>
                <w:color w:val="auto"/>
              </w:rPr>
              <w:t>23</w:t>
            </w:r>
            <w:r w:rsidRPr="00BF4531">
              <w:rPr>
                <w:rStyle w:val="Inne"/>
                <w:b/>
                <w:bCs/>
                <w:color w:val="auto"/>
              </w:rPr>
              <w:t>U</w:t>
            </w:r>
            <w:r w:rsidRPr="00BF4531">
              <w:rPr>
                <w:rStyle w:val="Inne"/>
                <w:color w:val="auto"/>
              </w:rPr>
              <w:t xml:space="preserve">, co oznacza tereny usług </w:t>
            </w:r>
            <w:r w:rsidR="00366AF8" w:rsidRPr="00BF4531">
              <w:rPr>
                <w:rStyle w:val="Inne"/>
                <w:color w:val="auto"/>
              </w:rPr>
              <w:t>różnych – istniejące usługi różne, w tym komercyjne.</w:t>
            </w:r>
          </w:p>
          <w:p w14:paraId="14F360C6" w14:textId="77777777" w:rsidR="00CE23E9" w:rsidRPr="00BF4531" w:rsidRDefault="00CE23E9" w:rsidP="00DF6CCE">
            <w:pPr>
              <w:pStyle w:val="Inne0"/>
              <w:rPr>
                <w:rStyle w:val="Inne"/>
                <w:color w:val="auto"/>
              </w:rPr>
            </w:pPr>
          </w:p>
          <w:p w14:paraId="6BE5D285" w14:textId="4AAE3B73" w:rsidR="00CE23E9" w:rsidRPr="00BF4531" w:rsidRDefault="00CE23E9" w:rsidP="00DF6CCE">
            <w:pPr>
              <w:pStyle w:val="Inne0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C9AE5" w14:textId="77777777" w:rsidR="00E512D9" w:rsidRPr="00BF4531" w:rsidRDefault="00CE23E9" w:rsidP="00DF6CCE">
            <w:pPr>
              <w:pStyle w:val="Inne0"/>
              <w:rPr>
                <w:rStyle w:val="Inne"/>
                <w:color w:val="auto"/>
              </w:rPr>
            </w:pPr>
            <w:r w:rsidRPr="00BF4531">
              <w:rPr>
                <w:rStyle w:val="Inne"/>
                <w:color w:val="auto"/>
              </w:rPr>
              <w:t xml:space="preserve">Cena wynosi </w:t>
            </w:r>
          </w:p>
          <w:p w14:paraId="44E61BD8" w14:textId="5CF60A69" w:rsidR="00CE23E9" w:rsidRPr="00BF4531" w:rsidRDefault="00136CDE" w:rsidP="00E512D9">
            <w:pPr>
              <w:pStyle w:val="Inne0"/>
              <w:rPr>
                <w:color w:val="auto"/>
              </w:rPr>
            </w:pPr>
            <w:r w:rsidRPr="00BF4531">
              <w:rPr>
                <w:rStyle w:val="Inne"/>
                <w:b/>
                <w:bCs/>
                <w:color w:val="auto"/>
              </w:rPr>
              <w:t>124</w:t>
            </w:r>
            <w:r w:rsidR="00C02100" w:rsidRPr="00BF4531">
              <w:rPr>
                <w:rStyle w:val="Inne"/>
                <w:b/>
                <w:bCs/>
                <w:color w:val="auto"/>
              </w:rPr>
              <w:t xml:space="preserve"> </w:t>
            </w:r>
            <w:r w:rsidRPr="00BF4531">
              <w:rPr>
                <w:rStyle w:val="Inne"/>
                <w:b/>
                <w:bCs/>
                <w:color w:val="auto"/>
              </w:rPr>
              <w:t>0</w:t>
            </w:r>
            <w:r w:rsidR="00C02100" w:rsidRPr="00BF4531">
              <w:rPr>
                <w:rStyle w:val="Inne"/>
                <w:b/>
                <w:bCs/>
                <w:color w:val="auto"/>
              </w:rPr>
              <w:t>00</w:t>
            </w:r>
            <w:r w:rsidR="001222F1" w:rsidRPr="00BF4531">
              <w:rPr>
                <w:rStyle w:val="Inne"/>
                <w:b/>
                <w:bCs/>
                <w:color w:val="auto"/>
              </w:rPr>
              <w:t>,00 zł</w:t>
            </w:r>
            <w:r w:rsidR="00E512D9" w:rsidRPr="00BF4531">
              <w:rPr>
                <w:rStyle w:val="Inne"/>
                <w:b/>
                <w:bCs/>
                <w:color w:val="auto"/>
              </w:rPr>
              <w:t xml:space="preserve"> </w:t>
            </w:r>
            <w:r w:rsidR="00E512D9" w:rsidRPr="00BF4531">
              <w:rPr>
                <w:rStyle w:val="Inne"/>
                <w:b/>
                <w:bCs/>
                <w:color w:val="auto"/>
              </w:rPr>
              <w:br/>
            </w:r>
            <w:r w:rsidR="00CE23E9" w:rsidRPr="00BF4531">
              <w:rPr>
                <w:rStyle w:val="Inne"/>
                <w:color w:val="auto"/>
              </w:rPr>
              <w:t xml:space="preserve">i została ustalona zgodnie </w:t>
            </w:r>
            <w:r w:rsidR="00FD03DF" w:rsidRPr="00BF4531">
              <w:rPr>
                <w:rStyle w:val="Inne"/>
                <w:color w:val="auto"/>
              </w:rPr>
              <w:br/>
            </w:r>
            <w:r w:rsidR="00CE23E9" w:rsidRPr="00BF4531">
              <w:rPr>
                <w:rStyle w:val="Inne"/>
                <w:color w:val="auto"/>
              </w:rPr>
              <w:t xml:space="preserve">z art. 67 ust. 3 ustawy </w:t>
            </w:r>
            <w:r w:rsidR="00010BC0" w:rsidRPr="00BF4531">
              <w:rPr>
                <w:rStyle w:val="Inne"/>
                <w:color w:val="auto"/>
              </w:rPr>
              <w:br/>
            </w:r>
            <w:r w:rsidR="00CE23E9" w:rsidRPr="00BF4531">
              <w:rPr>
                <w:rStyle w:val="Inne"/>
                <w:color w:val="auto"/>
              </w:rPr>
              <w:t xml:space="preserve">z dnia 21 sierpnia 1997 r. </w:t>
            </w:r>
            <w:r w:rsidR="00FD03DF" w:rsidRPr="00BF4531">
              <w:rPr>
                <w:rStyle w:val="Inne"/>
                <w:color w:val="auto"/>
              </w:rPr>
              <w:br/>
            </w:r>
            <w:r w:rsidR="00CE23E9" w:rsidRPr="00BF4531">
              <w:rPr>
                <w:rStyle w:val="Inne"/>
                <w:color w:val="auto"/>
              </w:rPr>
              <w:t xml:space="preserve">o gospodarce nieruchomościami, jako wartość rynkowa prawa własności nieruchomości </w:t>
            </w:r>
            <w:r w:rsidR="00C02100" w:rsidRPr="00BF4531">
              <w:rPr>
                <w:rStyle w:val="Inne"/>
                <w:color w:val="auto"/>
              </w:rPr>
              <w:t xml:space="preserve">– zwolnienie z </w:t>
            </w:r>
            <w:r w:rsidR="00CE23E9" w:rsidRPr="00BF4531">
              <w:rPr>
                <w:rStyle w:val="Inne"/>
                <w:color w:val="auto"/>
              </w:rPr>
              <w:t>podatk</w:t>
            </w:r>
            <w:r w:rsidR="00C02100" w:rsidRPr="00BF4531">
              <w:rPr>
                <w:rStyle w:val="Inne"/>
                <w:color w:val="auto"/>
              </w:rPr>
              <w:t>u</w:t>
            </w:r>
            <w:r w:rsidR="00CE23E9" w:rsidRPr="00BF4531">
              <w:rPr>
                <w:rStyle w:val="Inne"/>
                <w:color w:val="auto"/>
              </w:rPr>
              <w:t xml:space="preserve"> Vat</w:t>
            </w:r>
            <w:r w:rsidR="00C341CE" w:rsidRPr="00BF4531">
              <w:rPr>
                <w:rStyle w:val="Inne"/>
                <w:color w:val="auto"/>
              </w:rPr>
              <w:t xml:space="preserve"> (art. </w:t>
            </w:r>
            <w:r w:rsidR="001222F1" w:rsidRPr="00BF4531">
              <w:rPr>
                <w:rStyle w:val="Inne"/>
                <w:color w:val="auto"/>
              </w:rPr>
              <w:br/>
            </w:r>
            <w:r w:rsidR="00C341CE" w:rsidRPr="00BF4531">
              <w:rPr>
                <w:color w:val="auto"/>
              </w:rPr>
              <w:t>43 ust. 1 pkt 10a lit. a i b Ustawy o podatku od towarów i usług).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8E7" w14:textId="0CDA7AA2" w:rsidR="00CE23E9" w:rsidRDefault="00CE23E9" w:rsidP="00DF6CCE">
            <w:pPr>
              <w:pStyle w:val="Inne0"/>
            </w:pPr>
            <w:r>
              <w:rPr>
                <w:rStyle w:val="Inne"/>
              </w:rPr>
              <w:t>Sprzedaż prawa własności części nieruchomości</w:t>
            </w:r>
            <w:r w:rsidR="003C70AE">
              <w:rPr>
                <w:rStyle w:val="Inne"/>
              </w:rPr>
              <w:t xml:space="preserve"> oznaczonej jako dz. nr 84</w:t>
            </w:r>
            <w:r>
              <w:rPr>
                <w:rStyle w:val="Inne"/>
              </w:rPr>
              <w:t xml:space="preserve"> </w:t>
            </w:r>
            <w:r w:rsidR="00366AF8">
              <w:rPr>
                <w:rStyle w:val="Inne"/>
              </w:rPr>
              <w:t xml:space="preserve">będzie zbyta </w:t>
            </w:r>
            <w:r w:rsidR="002C7460">
              <w:rPr>
                <w:rStyle w:val="Inne"/>
              </w:rPr>
              <w:br/>
            </w:r>
            <w:r w:rsidR="00366AF8">
              <w:rPr>
                <w:rStyle w:val="Inne"/>
              </w:rPr>
              <w:t>w trybie bezprzetargowym zgodnie</w:t>
            </w:r>
            <w:r w:rsidR="00DF6CCE">
              <w:rPr>
                <w:rStyle w:val="Inne"/>
              </w:rPr>
              <w:t xml:space="preserve"> </w:t>
            </w:r>
            <w:r w:rsidR="00847664">
              <w:rPr>
                <w:rStyle w:val="Inne"/>
              </w:rPr>
              <w:t xml:space="preserve">z </w:t>
            </w:r>
            <w:r w:rsidR="00366AF8">
              <w:rPr>
                <w:rStyle w:val="Inne"/>
              </w:rPr>
              <w:t xml:space="preserve">§ 1 ust. 2 pkt </w:t>
            </w:r>
            <w:r w:rsidR="00F30A7F">
              <w:rPr>
                <w:rStyle w:val="Inne"/>
              </w:rPr>
              <w:t>2</w:t>
            </w:r>
            <w:r w:rsidR="00366AF8">
              <w:rPr>
                <w:rStyle w:val="Inne"/>
              </w:rPr>
              <w:t xml:space="preserve">h) i § 8 </w:t>
            </w:r>
            <w:r w:rsidR="00847664">
              <w:rPr>
                <w:rStyle w:val="Inne"/>
              </w:rPr>
              <w:t>Zarządzen</w:t>
            </w:r>
            <w:r w:rsidR="00366AF8">
              <w:rPr>
                <w:rStyle w:val="Inne"/>
              </w:rPr>
              <w:t>ia</w:t>
            </w:r>
            <w:r w:rsidR="00847664">
              <w:rPr>
                <w:rStyle w:val="Inne"/>
              </w:rPr>
              <w:t xml:space="preserve"> nr 182/2020 z dn. 04.09.202</w:t>
            </w:r>
            <w:r w:rsidR="00366AF8">
              <w:rPr>
                <w:rStyle w:val="Inne"/>
              </w:rPr>
              <w:t>0 r.,</w:t>
            </w:r>
            <w:r w:rsidR="00DF6CCE">
              <w:rPr>
                <w:rStyle w:val="Inne"/>
              </w:rPr>
              <w:t xml:space="preserve"> </w:t>
            </w:r>
            <w:r w:rsidR="00366AF8">
              <w:rPr>
                <w:rStyle w:val="Inne"/>
              </w:rPr>
              <w:t xml:space="preserve">w sprawie </w:t>
            </w:r>
            <w:r w:rsidR="003C70AE">
              <w:rPr>
                <w:rStyle w:val="Inne"/>
              </w:rPr>
              <w:t>R</w:t>
            </w:r>
            <w:r w:rsidR="00366AF8">
              <w:rPr>
                <w:rStyle w:val="Inne"/>
              </w:rPr>
              <w:t>egulaminu zbywania nieruchomości będących własnością Politechniki Śląskiej</w:t>
            </w:r>
            <w:r w:rsidR="00DF6CCE">
              <w:rPr>
                <w:rStyle w:val="Inne"/>
              </w:rPr>
              <w:t>,</w:t>
            </w:r>
            <w:r w:rsidR="003C70AE">
              <w:rPr>
                <w:rStyle w:val="Inne"/>
              </w:rPr>
              <w:br/>
              <w:t xml:space="preserve">w związku </w:t>
            </w:r>
            <w:r w:rsidR="003C70AE" w:rsidRPr="003C70AE">
              <w:rPr>
                <w:rStyle w:val="Inne"/>
              </w:rPr>
              <w:t xml:space="preserve">z art. 231 § 1 </w:t>
            </w:r>
            <w:proofErr w:type="spellStart"/>
            <w:r w:rsidR="003C70AE" w:rsidRPr="003C70AE">
              <w:rPr>
                <w:rStyle w:val="Inne"/>
              </w:rPr>
              <w:t>kc</w:t>
            </w:r>
            <w:proofErr w:type="spellEnd"/>
            <w:r w:rsidR="003C70AE">
              <w:rPr>
                <w:rStyle w:val="Inne"/>
              </w:rPr>
              <w:t>.</w:t>
            </w:r>
          </w:p>
        </w:tc>
      </w:tr>
    </w:tbl>
    <w:p w14:paraId="78E559FD" w14:textId="77777777" w:rsidR="0083799C" w:rsidRDefault="0083799C" w:rsidP="00EB249B">
      <w:pPr>
        <w:pStyle w:val="Teksttreci0"/>
        <w:spacing w:after="0" w:line="322" w:lineRule="auto"/>
        <w:ind w:left="220"/>
        <w:jc w:val="both"/>
        <w:rPr>
          <w:rStyle w:val="Teksttreci"/>
          <w:b/>
          <w:bCs/>
        </w:rPr>
      </w:pPr>
      <w:bookmarkStart w:id="1" w:name="_Hlk117253926"/>
    </w:p>
    <w:p w14:paraId="3BACF6DB" w14:textId="4820C1DE" w:rsidR="0083799C" w:rsidRPr="0083799C" w:rsidRDefault="0083799C" w:rsidP="00EB249B">
      <w:pPr>
        <w:pStyle w:val="Teksttreci0"/>
        <w:spacing w:after="0" w:line="322" w:lineRule="auto"/>
        <w:ind w:left="220"/>
        <w:jc w:val="both"/>
        <w:rPr>
          <w:rStyle w:val="Teksttreci"/>
        </w:rPr>
      </w:pPr>
      <w:r>
        <w:rPr>
          <w:rStyle w:val="Teksttreci"/>
          <w:b/>
          <w:bCs/>
        </w:rPr>
        <w:t>Niniejsze ogłoszenie zostaje podane do publicznej wiadomości na okres 6 tygodni, licząc od dnia publikacji</w:t>
      </w:r>
      <w:bookmarkEnd w:id="1"/>
      <w:r>
        <w:rPr>
          <w:rStyle w:val="Teksttreci"/>
          <w:b/>
          <w:bCs/>
        </w:rPr>
        <w:t xml:space="preserve"> </w:t>
      </w:r>
      <w:r>
        <w:rPr>
          <w:rStyle w:val="Teksttreci"/>
        </w:rPr>
        <w:t>(§ 12 ust. 4 Zarządzenia nr 182/2020 Rektora Politechniki Śląskiej z dnia 4 września 2020 roku w sprawie Regulaminu zbywania nieruchomości będących własnością Politechniki Śląskiej).</w:t>
      </w:r>
    </w:p>
    <w:sectPr w:rsidR="0083799C" w:rsidRPr="0083799C" w:rsidSect="00CE553C">
      <w:pgSz w:w="16840" w:h="11900" w:orient="landscape"/>
      <w:pgMar w:top="426" w:right="1196" w:bottom="510" w:left="1185" w:header="970" w:footer="7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259A" w14:textId="77777777" w:rsidR="00475094" w:rsidRDefault="00475094">
      <w:r>
        <w:separator/>
      </w:r>
    </w:p>
  </w:endnote>
  <w:endnote w:type="continuationSeparator" w:id="0">
    <w:p w14:paraId="0C9E4CCB" w14:textId="77777777" w:rsidR="00475094" w:rsidRDefault="0047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56C8" w14:textId="77777777" w:rsidR="00475094" w:rsidRDefault="00475094"/>
  </w:footnote>
  <w:footnote w:type="continuationSeparator" w:id="0">
    <w:p w14:paraId="75F63BCC" w14:textId="77777777" w:rsidR="00475094" w:rsidRDefault="004750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2D"/>
    <w:rsid w:val="00010BC0"/>
    <w:rsid w:val="00023808"/>
    <w:rsid w:val="00025E07"/>
    <w:rsid w:val="00107BEE"/>
    <w:rsid w:val="001222F1"/>
    <w:rsid w:val="00136CDE"/>
    <w:rsid w:val="0013756F"/>
    <w:rsid w:val="001E6A65"/>
    <w:rsid w:val="00282407"/>
    <w:rsid w:val="002A4861"/>
    <w:rsid w:val="002C7460"/>
    <w:rsid w:val="002D2D00"/>
    <w:rsid w:val="00366AF8"/>
    <w:rsid w:val="003A6834"/>
    <w:rsid w:val="003C70AE"/>
    <w:rsid w:val="00475094"/>
    <w:rsid w:val="0048305B"/>
    <w:rsid w:val="004C5706"/>
    <w:rsid w:val="004D15DE"/>
    <w:rsid w:val="005A3814"/>
    <w:rsid w:val="005A4638"/>
    <w:rsid w:val="005C6F64"/>
    <w:rsid w:val="005E371A"/>
    <w:rsid w:val="00653E08"/>
    <w:rsid w:val="00690845"/>
    <w:rsid w:val="006A2824"/>
    <w:rsid w:val="006B7685"/>
    <w:rsid w:val="006C241F"/>
    <w:rsid w:val="006D603A"/>
    <w:rsid w:val="0071578A"/>
    <w:rsid w:val="007F62E9"/>
    <w:rsid w:val="008318C8"/>
    <w:rsid w:val="0083799C"/>
    <w:rsid w:val="00847664"/>
    <w:rsid w:val="008E4EBE"/>
    <w:rsid w:val="009B7FD9"/>
    <w:rsid w:val="00A0503D"/>
    <w:rsid w:val="00A72B76"/>
    <w:rsid w:val="00B76C23"/>
    <w:rsid w:val="00B96DDE"/>
    <w:rsid w:val="00BF425C"/>
    <w:rsid w:val="00BF4531"/>
    <w:rsid w:val="00C02100"/>
    <w:rsid w:val="00C06EA6"/>
    <w:rsid w:val="00C341CE"/>
    <w:rsid w:val="00CB2164"/>
    <w:rsid w:val="00CD79BA"/>
    <w:rsid w:val="00CE23E9"/>
    <w:rsid w:val="00CE553C"/>
    <w:rsid w:val="00CF07E3"/>
    <w:rsid w:val="00D06685"/>
    <w:rsid w:val="00D76413"/>
    <w:rsid w:val="00DF6CCE"/>
    <w:rsid w:val="00E37CCE"/>
    <w:rsid w:val="00E512D9"/>
    <w:rsid w:val="00EB249B"/>
    <w:rsid w:val="00EF6B70"/>
    <w:rsid w:val="00EF7A29"/>
    <w:rsid w:val="00F30A7F"/>
    <w:rsid w:val="00F52896"/>
    <w:rsid w:val="00F85484"/>
    <w:rsid w:val="00F94B2D"/>
    <w:rsid w:val="00FA20EB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428C"/>
  <w15:docId w15:val="{D164C17F-2316-4899-8D75-3690FEA0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4">
    <w:name w:val="Nagłówek #4_"/>
    <w:basedOn w:val="Domylnaczcionkaakapitu"/>
    <w:link w:val="Nagwek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pacing w:after="80"/>
      <w:jc w:val="center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pacing w:after="200"/>
      <w:jc w:val="center"/>
      <w:outlineLvl w:val="3"/>
    </w:pPr>
    <w:rPr>
      <w:rFonts w:ascii="Verdana" w:eastAsia="Verdana" w:hAnsi="Verdana" w:cs="Verdana"/>
      <w:sz w:val="18"/>
      <w:szCs w:val="18"/>
    </w:rPr>
  </w:style>
  <w:style w:type="paragraph" w:customStyle="1" w:styleId="Inne0">
    <w:name w:val="Inne"/>
    <w:basedOn w:val="Normalny"/>
    <w:link w:val="Inne"/>
    <w:rPr>
      <w:rFonts w:ascii="Verdana" w:eastAsia="Verdana" w:hAnsi="Verdana" w:cs="Verdana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100" w:line="319" w:lineRule="auto"/>
    </w:pPr>
    <w:rPr>
      <w:rFonts w:ascii="Verdana" w:eastAsia="Verdana" w:hAnsi="Verdana" w:cs="Verdana"/>
      <w:sz w:val="16"/>
      <w:szCs w:val="16"/>
    </w:rPr>
  </w:style>
  <w:style w:type="paragraph" w:customStyle="1" w:styleId="Nagwek10">
    <w:name w:val="Nagłówek #1"/>
    <w:basedOn w:val="Normalny"/>
    <w:link w:val="Nagwek1"/>
    <w:pPr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100"/>
      <w:ind w:left="9760"/>
      <w:outlineLvl w:val="1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</dc:title>
  <dc:subject/>
  <dc:creator>Monika Borys</dc:creator>
  <cp:keywords/>
  <cp:lastModifiedBy>Magdalena Jurczyk</cp:lastModifiedBy>
  <cp:revision>2</cp:revision>
  <cp:lastPrinted>2026-06-09T11:24:00Z</cp:lastPrinted>
  <dcterms:created xsi:type="dcterms:W3CDTF">2026-06-15T06:47:00Z</dcterms:created>
  <dcterms:modified xsi:type="dcterms:W3CDTF">2026-06-15T06:47:00Z</dcterms:modified>
</cp:coreProperties>
</file>